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after="360" w:line="240" w:lineRule="auto"/>
        <w:outlineLvl w:val="3"/>
        <w:rPr>
          <w:outline w:val="0"/>
          <w:color w:val="616161"/>
          <w:sz w:val="2"/>
          <w:szCs w:val="2"/>
          <w:u w:color="616161"/>
          <w14:textFill>
            <w14:solidFill>
              <w14:srgbClr w14:val="616161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jc w:val="center"/>
        <w:outlineLvl w:val="3"/>
        <w:rPr>
          <w:b w:val="1"/>
          <w:bCs w:val="1"/>
          <w:sz w:val="52"/>
          <w:szCs w:val="52"/>
        </w:rPr>
      </w:pPr>
    </w:p>
    <w:p>
      <w:pPr>
        <w:pStyle w:val="Body"/>
        <w:shd w:val="clear" w:color="auto" w:fill="ffffff"/>
        <w:spacing w:after="0" w:line="240" w:lineRule="auto"/>
        <w:jc w:val="center"/>
        <w:outlineLvl w:val="3"/>
        <w:rPr>
          <w:b w:val="1"/>
          <w:bCs w:val="1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52"/>
          <w:szCs w:val="5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E-T</w:t>
      </w:r>
      <w:r>
        <w:rPr>
          <w:b w:val="1"/>
          <w:bCs w:val="1"/>
          <w:outline w:val="0"/>
          <w:color w:val="000000"/>
          <w:sz w:val="52"/>
          <w:szCs w:val="52"/>
          <w:u w:color="000000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b w:val="1"/>
          <w:bCs w:val="1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CARET</w:t>
      </w:r>
      <w:r>
        <w:rPr>
          <w:b w:val="1"/>
          <w:bCs w:val="1"/>
          <w:outline w:val="0"/>
          <w:color w:val="000000"/>
          <w:sz w:val="52"/>
          <w:szCs w:val="52"/>
          <w:u w:color="000000"/>
          <w:rtl w:val="0"/>
          <w14:textFill>
            <w14:solidFill>
              <w14:srgbClr w14:val="000000"/>
            </w14:solidFill>
          </w14:textFill>
        </w:rPr>
        <w:t>’İ</w:t>
      </w:r>
      <w:r>
        <w:rPr>
          <w:b w:val="1"/>
          <w:bCs w:val="1"/>
          <w:outline w:val="0"/>
          <w:color w:val="000000"/>
          <w:sz w:val="52"/>
          <w:szCs w:val="5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 L</w:t>
      </w:r>
      <w:r>
        <w:rPr>
          <w:b w:val="1"/>
          <w:bCs w:val="1"/>
          <w:outline w:val="0"/>
          <w:color w:val="000000"/>
          <w:sz w:val="52"/>
          <w:szCs w:val="52"/>
          <w:u w:color="000000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b w:val="1"/>
          <w:bCs w:val="1"/>
          <w:outline w:val="0"/>
          <w:color w:val="000000"/>
          <w:sz w:val="52"/>
          <w:szCs w:val="5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DER</w:t>
      </w:r>
      <w:r>
        <w:rPr>
          <w:b w:val="1"/>
          <w:bCs w:val="1"/>
          <w:outline w:val="0"/>
          <w:color w:val="000000"/>
          <w:sz w:val="52"/>
          <w:szCs w:val="52"/>
          <w:u w:color="000000"/>
          <w:rtl w:val="0"/>
          <w14:textFill>
            <w14:solidFill>
              <w14:srgbClr w14:val="000000"/>
            </w14:solidFill>
          </w14:textFill>
        </w:rPr>
        <w:t xml:space="preserve">İ </w:t>
      </w:r>
      <w:r>
        <w:rPr>
          <w:b w:val="1"/>
          <w:bCs w:val="1"/>
          <w:outline w:val="0"/>
          <w:color w:val="000000"/>
          <w:sz w:val="52"/>
          <w:szCs w:val="5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BELL</w:t>
      </w:r>
      <w:r>
        <w:rPr>
          <w:b w:val="1"/>
          <w:bCs w:val="1"/>
          <w:outline w:val="0"/>
          <w:color w:val="000000"/>
          <w:sz w:val="52"/>
          <w:szCs w:val="52"/>
          <w:u w:color="000000"/>
          <w:rtl w:val="0"/>
          <w14:textFill>
            <w14:solidFill>
              <w14:srgbClr w14:val="000000"/>
            </w14:solidFill>
          </w14:textFill>
        </w:rPr>
        <w:t xml:space="preserve">İ </w:t>
      </w:r>
      <w:r>
        <w:rPr>
          <w:b w:val="1"/>
          <w:bCs w:val="1"/>
          <w:outline w:val="0"/>
          <w:color w:val="000000"/>
          <w:sz w:val="52"/>
          <w:szCs w:val="5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OLDU!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outline w:val="0"/>
          <w:color w:val="ed7d31"/>
          <w:sz w:val="52"/>
          <w:szCs w:val="52"/>
          <w:u w:color="ed7d31"/>
          <w14:textFill>
            <w14:solidFill>
              <w14:srgbClr w14:val="ED7D31"/>
            </w14:solidFill>
          </w14:textFill>
        </w:rPr>
        <w:br w:type="textWrapping"/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rkiye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nl-NL"/>
        </w:rPr>
        <w:t>de b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y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k bir ivme kazanan ve t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m d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nyada en h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zl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  <w:lang w:val="nl-NL"/>
        </w:rPr>
        <w:t>geli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en sekt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 olan e-ticaret 2022 y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nda da y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kselmeye h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zla devam ediyor. 2018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 xml:space="preserve">den bu yana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rkiye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>de E-Ticaret" raporlar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yla online ticarette ya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 xml:space="preserve">anan </w:t>
      </w: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</w:rPr>
        <w:t>e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itlili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i ve hizmet kalitesini takip eden Twentify, 2022 raporuyla da Cov</w:t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>d-19 sonras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</w:rPr>
        <w:t>e-ticaretteki geli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 xml:space="preserve">melere dikkat </w:t>
      </w: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</w:rPr>
        <w:t>ekiyor.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Twentify, her y</w:t>
      </w:r>
      <w:r>
        <w:rPr>
          <w:rtl w:val="0"/>
        </w:rPr>
        <w:t>ı</w:t>
      </w:r>
      <w:r>
        <w:rPr>
          <w:rtl w:val="0"/>
          <w:lang w:val="nl-NL"/>
        </w:rPr>
        <w:t>l g</w:t>
      </w:r>
      <w:r>
        <w:rPr>
          <w:rtl w:val="0"/>
          <w:lang w:val="sv-SE"/>
        </w:rPr>
        <w:t>ö</w:t>
      </w:r>
      <w:r>
        <w:rPr>
          <w:rtl w:val="0"/>
        </w:rPr>
        <w:t>zle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r oranda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yen e-ticaret sekt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ndeki geli</w:t>
      </w:r>
      <w:r>
        <w:rPr>
          <w:rtl w:val="0"/>
        </w:rPr>
        <w:t>ş</w:t>
      </w:r>
      <w:r>
        <w:rPr>
          <w:rtl w:val="0"/>
        </w:rPr>
        <w:t>meleri yak</w:t>
      </w:r>
      <w:r>
        <w:rPr>
          <w:rtl w:val="0"/>
        </w:rPr>
        <w:t>ı</w:t>
      </w:r>
      <w:r>
        <w:rPr>
          <w:rtl w:val="0"/>
        </w:rPr>
        <w:t>nda takip ediyor. E-ticaret markalar</w:t>
      </w:r>
      <w:r>
        <w:rPr>
          <w:rtl w:val="0"/>
        </w:rPr>
        <w:t>ı</w:t>
      </w:r>
      <w:r>
        <w:rPr>
          <w:rtl w:val="0"/>
        </w:rPr>
        <w:t>na duyulan ilginin ve online-offline kanal ili</w:t>
      </w:r>
      <w:r>
        <w:rPr>
          <w:rtl w:val="0"/>
        </w:rPr>
        <w:t>ş</w:t>
      </w:r>
      <w:r>
        <w:rPr>
          <w:rtl w:val="0"/>
        </w:rPr>
        <w:t>kisinin yan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n-fiyat 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  <w:lang w:val="it-IT"/>
        </w:rPr>
        <w:t>rma s</w:t>
      </w:r>
      <w:r>
        <w:rPr>
          <w:rtl w:val="0"/>
        </w:rPr>
        <w:t>ü</w:t>
      </w:r>
      <w:r>
        <w:rPr>
          <w:rtl w:val="0"/>
        </w:rPr>
        <w:t>re</w:t>
      </w:r>
      <w:r>
        <w:rPr>
          <w:rtl w:val="0"/>
        </w:rPr>
        <w:t>ç</w:t>
      </w:r>
      <w:r>
        <w:rPr>
          <w:rtl w:val="0"/>
        </w:rPr>
        <w:t>lerinin, tercih motivasyonlar</w:t>
      </w:r>
      <w:r>
        <w:rPr>
          <w:rtl w:val="0"/>
        </w:rPr>
        <w:t xml:space="preserve">ı </w:t>
      </w:r>
      <w:r>
        <w:rPr>
          <w:rtl w:val="0"/>
          <w:lang w:val="da-DK"/>
        </w:rPr>
        <w:t>ve salg</w:t>
      </w:r>
      <w:r>
        <w:rPr>
          <w:rtl w:val="0"/>
        </w:rPr>
        <w:t>ı</w:t>
      </w:r>
      <w:r>
        <w:rPr>
          <w:rtl w:val="0"/>
        </w:rPr>
        <w:t>n etkisinin yer ald</w:t>
      </w:r>
      <w:r>
        <w:rPr>
          <w:rtl w:val="0"/>
        </w:rPr>
        <w:t xml:space="preserve">ığı </w:t>
      </w:r>
      <w:r>
        <w:rPr>
          <w:rtl w:val="0"/>
        </w:rPr>
        <w:t>rapor, markalar</w:t>
      </w:r>
      <w:r>
        <w:rPr>
          <w:rtl w:val="0"/>
        </w:rPr>
        <w:t xml:space="preserve">ı </w:t>
      </w:r>
      <w:r>
        <w:rPr>
          <w:rtl w:val="0"/>
        </w:rPr>
        <w:t>e-ticaret stratejisine bir katk</w:t>
      </w:r>
      <w:r>
        <w:rPr>
          <w:rtl w:val="0"/>
        </w:rPr>
        <w:t xml:space="preserve">ı </w:t>
      </w:r>
      <w:r>
        <w:rPr>
          <w:rtl w:val="0"/>
        </w:rPr>
        <w:t xml:space="preserve">ve toplumun tercihlerine </w:t>
      </w:r>
      <w:r>
        <w:rPr>
          <w:rtl w:val="0"/>
        </w:rPr>
        <w:t>ışı</w:t>
      </w:r>
      <w:r>
        <w:rPr>
          <w:rtl w:val="0"/>
        </w:rPr>
        <w:t>k tutuyor.</w:t>
      </w:r>
    </w:p>
    <w:p>
      <w:pPr>
        <w:pStyle w:val="Body"/>
        <w:jc w:val="both"/>
      </w:pP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 xml:space="preserve">rkiye temsili kriterlere uygun toplam </w:t>
      </w:r>
      <w:r>
        <w:rPr>
          <w:b w:val="1"/>
          <w:bCs w:val="1"/>
          <w:rtl w:val="0"/>
        </w:rPr>
        <w:t>2361</w:t>
      </w:r>
      <w:r>
        <w:rPr>
          <w:rtl w:val="0"/>
        </w:rPr>
        <w:t xml:space="preserve"> 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mc</w:t>
      </w:r>
      <w:r>
        <w:rPr>
          <w:rtl w:val="0"/>
        </w:rPr>
        <w:t xml:space="preserve">ı </w:t>
      </w:r>
      <w:r>
        <w:rPr>
          <w:rtl w:val="0"/>
        </w:rPr>
        <w:t>ile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 xml:space="preserve">tirilen rapor </w:t>
      </w:r>
      <w:r>
        <w:rPr>
          <w:rtl w:val="0"/>
        </w:rPr>
        <w:t>Ş</w:t>
      </w:r>
      <w:r>
        <w:rPr>
          <w:rtl w:val="0"/>
        </w:rPr>
        <w:t>ubat -Mart 2022 tarihlerini kaps</w:t>
      </w:r>
      <w:r>
        <w:rPr>
          <w:rtl w:val="0"/>
        </w:rPr>
        <w:t>ı</w:t>
      </w:r>
      <w:r>
        <w:rPr>
          <w:rtl w:val="0"/>
        </w:rPr>
        <w:t>yor. 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  <w:lang w:val="it-IT"/>
        </w:rPr>
        <w:t xml:space="preserve">rma </w:t>
      </w:r>
      <w:r>
        <w:rPr>
          <w:b w:val="1"/>
          <w:bCs w:val="1"/>
          <w:rtl w:val="0"/>
        </w:rPr>
        <w:t>Mobil Ara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rma Y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ntemi</w:t>
      </w:r>
      <w:r>
        <w:rPr>
          <w:rtl w:val="0"/>
        </w:rPr>
        <w:t xml:space="preserve"> kullan</w:t>
      </w:r>
      <w:r>
        <w:rPr>
          <w:rtl w:val="0"/>
        </w:rPr>
        <w:t>ı</w:t>
      </w:r>
      <w:r>
        <w:rPr>
          <w:rtl w:val="0"/>
        </w:rPr>
        <w:t xml:space="preserve">larak, </w:t>
      </w:r>
      <w:r>
        <w:rPr>
          <w:b w:val="1"/>
          <w:bCs w:val="1"/>
          <w:rtl w:val="0"/>
          <w:lang w:val="en-US"/>
        </w:rPr>
        <w:t xml:space="preserve">Twentify Bounty 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 xml:space="preserve">ketici platformu </w:t>
      </w:r>
      <w:r>
        <w:rPr>
          <w:rtl w:val="0"/>
        </w:rPr>
        <w:t>ü</w:t>
      </w:r>
      <w:r>
        <w:rPr>
          <w:rtl w:val="0"/>
        </w:rPr>
        <w:t>zerinde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tirilmi</w:t>
      </w:r>
      <w:r>
        <w:rPr>
          <w:rtl w:val="0"/>
        </w:rPr>
        <w:t>ş</w:t>
      </w:r>
      <w:r>
        <w:rPr>
          <w:rtl w:val="0"/>
        </w:rPr>
        <w:t>tir.</w:t>
      </w:r>
    </w:p>
    <w:p>
      <w:pPr>
        <w:pStyle w:val="Body"/>
        <w:jc w:val="both"/>
      </w:pPr>
    </w:p>
    <w:p>
      <w:pPr>
        <w:pStyle w:val="Body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Platform Tercihleri</w:t>
      </w: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Ö</w:t>
      </w:r>
      <w:r>
        <w:rPr>
          <w:b w:val="1"/>
          <w:bCs w:val="1"/>
          <w:rtl w:val="0"/>
        </w:rPr>
        <w:t xml:space="preserve">ncelikle belirtilmesi gereken en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nemli konu online al</w:t>
      </w:r>
      <w:r>
        <w:rPr>
          <w:b w:val="1"/>
          <w:bCs w:val="1"/>
          <w:rtl w:val="0"/>
        </w:rPr>
        <w:t>ış</w:t>
      </w:r>
      <w:r>
        <w:rPr>
          <w:b w:val="1"/>
          <w:bCs w:val="1"/>
          <w:rtl w:val="0"/>
        </w:rPr>
        <w:t>veri</w:t>
      </w:r>
      <w:r>
        <w:rPr>
          <w:b w:val="1"/>
          <w:bCs w:val="1"/>
          <w:rtl w:val="0"/>
        </w:rPr>
        <w:t xml:space="preserve">ş </w:t>
      </w:r>
      <w:r>
        <w:rPr>
          <w:b w:val="1"/>
          <w:bCs w:val="1"/>
          <w:rtl w:val="0"/>
        </w:rPr>
        <w:t>al</w:t>
      </w:r>
      <w:r>
        <w:rPr>
          <w:b w:val="1"/>
          <w:bCs w:val="1"/>
          <w:rtl w:val="0"/>
        </w:rPr>
        <w:t>ış</w:t>
      </w:r>
      <w:r>
        <w:rPr>
          <w:b w:val="1"/>
          <w:bCs w:val="1"/>
          <w:rtl w:val="0"/>
        </w:rPr>
        <w:t>kanl</w:t>
      </w:r>
      <w:r>
        <w:rPr>
          <w:b w:val="1"/>
          <w:bCs w:val="1"/>
          <w:rtl w:val="0"/>
        </w:rPr>
        <w:t>ığı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…</w:t>
      </w:r>
    </w:p>
    <w:p>
      <w:pPr>
        <w:pStyle w:val="Body"/>
        <w:jc w:val="both"/>
      </w:pPr>
      <w:r>
        <w:rPr>
          <w:rtl w:val="0"/>
          <w:lang w:val="en-US"/>
        </w:rPr>
        <w:t>2021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%86 oran</w:t>
      </w:r>
      <w:r>
        <w:rPr>
          <w:rtl w:val="0"/>
        </w:rPr>
        <w:t>ı</w:t>
      </w:r>
      <w:r>
        <w:rPr>
          <w:rtl w:val="0"/>
        </w:rPr>
        <w:t>nda olan al</w:t>
      </w:r>
      <w:r>
        <w:rPr>
          <w:rtl w:val="0"/>
        </w:rPr>
        <w:t>ış</w:t>
      </w:r>
      <w:r>
        <w:rPr>
          <w:rtl w:val="0"/>
        </w:rPr>
        <w:t>kanl</w:t>
      </w:r>
      <w:r>
        <w:rPr>
          <w:rtl w:val="0"/>
        </w:rPr>
        <w:t>ı</w:t>
      </w:r>
      <w:r>
        <w:rPr>
          <w:rtl w:val="0"/>
        </w:rPr>
        <w:t>k oran</w:t>
      </w:r>
      <w:r>
        <w:rPr>
          <w:rtl w:val="0"/>
        </w:rPr>
        <w:t xml:space="preserve">ı </w:t>
      </w:r>
      <w:r>
        <w:rPr>
          <w:rtl w:val="0"/>
        </w:rPr>
        <w:t>2022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de</w:t>
      </w:r>
      <w:r>
        <w:rPr>
          <w:rtl w:val="0"/>
        </w:rPr>
        <w:t>ğ</w:t>
      </w:r>
      <w:r>
        <w:rPr>
          <w:rtl w:val="0"/>
        </w:rPr>
        <w:t>erini koruyor ve %86 oran</w:t>
      </w:r>
      <w:r>
        <w:rPr>
          <w:rtl w:val="0"/>
        </w:rPr>
        <w:t>ı</w:t>
      </w:r>
      <w:r>
        <w:rPr>
          <w:rtl w:val="0"/>
        </w:rPr>
        <w:t>nda devam ediyor.</w:t>
      </w:r>
    </w:p>
    <w:p>
      <w:pPr>
        <w:pStyle w:val="Body"/>
        <w:jc w:val="both"/>
      </w:pPr>
      <w:r>
        <w:rPr>
          <w:rtl w:val="0"/>
        </w:rPr>
        <w:t>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rman</w:t>
      </w:r>
      <w:r>
        <w:rPr>
          <w:rtl w:val="0"/>
        </w:rPr>
        <w:t>ı</w:t>
      </w:r>
      <w:r>
        <w:rPr>
          <w:rtl w:val="0"/>
        </w:rPr>
        <w:t>n sonu</w:t>
      </w:r>
      <w:r>
        <w:rPr>
          <w:rtl w:val="0"/>
        </w:rPr>
        <w:t>ç</w:t>
      </w:r>
      <w:r>
        <w:rPr>
          <w:rtl w:val="0"/>
        </w:rPr>
        <w:t>lar</w:t>
      </w:r>
      <w:r>
        <w:rPr>
          <w:rtl w:val="0"/>
        </w:rPr>
        <w:t xml:space="preserve">ı </w:t>
      </w:r>
      <w:r>
        <w:rPr>
          <w:rtl w:val="0"/>
        </w:rPr>
        <w:t>g</w:t>
      </w:r>
      <w:r>
        <w:rPr>
          <w:rtl w:val="0"/>
          <w:lang w:val="sv-SE"/>
        </w:rPr>
        <w:t>ö</w:t>
      </w:r>
      <w:r>
        <w:rPr>
          <w:rtl w:val="0"/>
        </w:rPr>
        <w:t>steriyor ki; ge</w:t>
      </w:r>
      <w:r>
        <w:rPr>
          <w:rtl w:val="0"/>
        </w:rPr>
        <w:t>ç</w:t>
      </w:r>
      <w:r>
        <w:rPr>
          <w:rtl w:val="0"/>
        </w:rPr>
        <w:t>en sene e-ticaret platformlar</w:t>
      </w:r>
      <w:r>
        <w:rPr>
          <w:rtl w:val="0"/>
        </w:rPr>
        <w:t xml:space="preserve">ı </w:t>
      </w:r>
      <w:r>
        <w:rPr>
          <w:rtl w:val="0"/>
        </w:rPr>
        <w:t>aras</w:t>
      </w:r>
      <w:r>
        <w:rPr>
          <w:rtl w:val="0"/>
        </w:rPr>
        <w:t>ı</w:t>
      </w:r>
      <w:r>
        <w:rPr>
          <w:rtl w:val="0"/>
        </w:rPr>
        <w:t>nda zirveyi payla</w:t>
      </w:r>
      <w:r>
        <w:rPr>
          <w:rtl w:val="0"/>
        </w:rPr>
        <w:t>ş</w:t>
      </w:r>
      <w:r>
        <w:rPr>
          <w:rtl w:val="0"/>
        </w:rPr>
        <w:t>anlar farkl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 g</w:t>
      </w:r>
      <w:r>
        <w:rPr>
          <w:rtl w:val="0"/>
          <w:lang w:val="sv-SE"/>
        </w:rPr>
        <w:t>ö</w:t>
      </w:r>
      <w:r>
        <w:rPr>
          <w:rtl w:val="0"/>
        </w:rPr>
        <w:t>steriyor. 2021</w:t>
      </w:r>
      <w:r>
        <w:rPr>
          <w:rtl w:val="1"/>
        </w:rPr>
        <w:t>’</w:t>
      </w:r>
      <w:r>
        <w:rPr>
          <w:rtl w:val="0"/>
        </w:rPr>
        <w:t>de ilk s</w:t>
      </w:r>
      <w:r>
        <w:rPr>
          <w:rtl w:val="0"/>
        </w:rPr>
        <w:t>ı</w:t>
      </w:r>
      <w:r>
        <w:rPr>
          <w:rtl w:val="0"/>
        </w:rPr>
        <w:t>rada Hepsiburada, Trendyol, Gittigidiyor ve n11 yer al</w:t>
      </w:r>
      <w:r>
        <w:rPr>
          <w:rtl w:val="0"/>
        </w:rPr>
        <w:t>ı</w:t>
      </w:r>
      <w:r>
        <w:rPr>
          <w:rtl w:val="0"/>
        </w:rPr>
        <w:t>rken, 2022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zirvenin sahipleri Trendyol, Hepsiburada, LCWaikiki ve Getir oluyor. Bu noktada tek kendi markas</w:t>
      </w:r>
      <w:r>
        <w:rPr>
          <w:rtl w:val="0"/>
        </w:rPr>
        <w:t>ı ö</w:t>
      </w:r>
      <w:r>
        <w:rPr>
          <w:rtl w:val="0"/>
        </w:rPr>
        <w:t>zelinde sat</w:t>
      </w:r>
      <w:r>
        <w:rPr>
          <w:rtl w:val="0"/>
        </w:rPr>
        <w:t xml:space="preserve">ış </w:t>
      </w:r>
      <w:r>
        <w:rPr>
          <w:rtl w:val="0"/>
        </w:rPr>
        <w:t>yapan LCWaikiki listenin ba</w:t>
      </w:r>
      <w:r>
        <w:rPr>
          <w:rtl w:val="0"/>
        </w:rPr>
        <w:t>şı</w:t>
      </w:r>
      <w:r>
        <w:rPr>
          <w:rtl w:val="0"/>
        </w:rPr>
        <w:t xml:space="preserve">ndaki yeriyle dikkatleri </w:t>
      </w:r>
      <w:r>
        <w:rPr>
          <w:rtl w:val="0"/>
        </w:rPr>
        <w:t>ü</w:t>
      </w:r>
      <w:r>
        <w:rPr>
          <w:rtl w:val="0"/>
        </w:rPr>
        <w:t xml:space="preserve">zerine </w:t>
      </w:r>
      <w:r>
        <w:rPr>
          <w:rtl w:val="0"/>
        </w:rPr>
        <w:t>ç</w:t>
      </w:r>
      <w:r>
        <w:rPr>
          <w:rtl w:val="0"/>
        </w:rPr>
        <w:t>ekiyor.</w:t>
      </w:r>
    </w:p>
    <w:p>
      <w:pPr>
        <w:pStyle w:val="Body"/>
        <w:jc w:val="both"/>
      </w:pPr>
      <w:r>
        <w:rPr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Son bir y</w:t>
      </w:r>
      <w:r>
        <w:rPr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l</w:t>
      </w:r>
      <w:r>
        <w:rPr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n lideri ise %78 ile Trendyol oluyor.</w:t>
      </w: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tl w:val="0"/>
          <w:lang w:val="de-DE"/>
        </w:rPr>
        <w:t>Ge</w:t>
      </w:r>
      <w:r>
        <w:rPr>
          <w:rtl w:val="0"/>
        </w:rPr>
        <w:t>ç</w:t>
      </w:r>
      <w:r>
        <w:rPr>
          <w:rtl w:val="0"/>
        </w:rPr>
        <w:t>ti</w:t>
      </w:r>
      <w:r>
        <w:rPr>
          <w:rtl w:val="0"/>
        </w:rPr>
        <w:t>ğ</w:t>
      </w:r>
      <w:r>
        <w:rPr>
          <w:rtl w:val="0"/>
        </w:rPr>
        <w:t>imiz y</w:t>
      </w:r>
      <w:r>
        <w:rPr>
          <w:rtl w:val="0"/>
        </w:rPr>
        <w:t>ı</w:t>
      </w:r>
      <w:r>
        <w:rPr>
          <w:rtl w:val="0"/>
        </w:rPr>
        <w:t xml:space="preserve">l </w:t>
      </w:r>
      <w:r>
        <w:rPr>
          <w:b w:val="1"/>
          <w:bCs w:val="1"/>
          <w:rtl w:val="0"/>
        </w:rPr>
        <w:t>Hepsiburada</w:t>
      </w:r>
      <w:r>
        <w:rPr>
          <w:rtl w:val="0"/>
        </w:rPr>
        <w:t xml:space="preserve"> ile ba</w:t>
      </w:r>
      <w:r>
        <w:rPr>
          <w:rtl w:val="0"/>
        </w:rPr>
        <w:t>ş</w:t>
      </w:r>
      <w:r>
        <w:rPr>
          <w:rtl w:val="0"/>
        </w:rPr>
        <w:t>a ba</w:t>
      </w:r>
      <w:r>
        <w:rPr>
          <w:rtl w:val="0"/>
        </w:rPr>
        <w:t xml:space="preserve">ş </w:t>
      </w:r>
      <w:r>
        <w:rPr>
          <w:rtl w:val="0"/>
        </w:rPr>
        <w:t xml:space="preserve">gelen </w:t>
      </w:r>
      <w:r>
        <w:rPr>
          <w:b w:val="1"/>
          <w:bCs w:val="1"/>
          <w:rtl w:val="0"/>
        </w:rPr>
        <w:t>Trendyol</w:t>
      </w:r>
      <w:r>
        <w:rPr>
          <w:rtl w:val="0"/>
        </w:rPr>
        <w:t>, bu sene birincili</w:t>
      </w:r>
      <w:r>
        <w:rPr>
          <w:rtl w:val="0"/>
        </w:rPr>
        <w:t>ğ</w:t>
      </w:r>
      <w:r>
        <w:rPr>
          <w:rtl w:val="0"/>
        </w:rPr>
        <w:t>i farkla al</w:t>
      </w:r>
      <w:r>
        <w:rPr>
          <w:rtl w:val="0"/>
        </w:rPr>
        <w:t>ı</w:t>
      </w:r>
      <w:r>
        <w:rPr>
          <w:rtl w:val="0"/>
        </w:rPr>
        <w:t>yor. Ayn</w:t>
      </w:r>
      <w:r>
        <w:rPr>
          <w:rtl w:val="0"/>
        </w:rPr>
        <w:t xml:space="preserve">ı </w:t>
      </w:r>
      <w:r>
        <w:rPr>
          <w:rtl w:val="0"/>
        </w:rPr>
        <w:t>zamanda Trendyol en s</w:t>
      </w:r>
      <w:r>
        <w:rPr>
          <w:rtl w:val="0"/>
        </w:rPr>
        <w:t>ı</w:t>
      </w:r>
      <w:r>
        <w:rPr>
          <w:rtl w:val="0"/>
        </w:rPr>
        <w:t>k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yap</w:t>
      </w:r>
      <w:r>
        <w:rPr>
          <w:rtl w:val="0"/>
        </w:rPr>
        <w:t>ı</w:t>
      </w:r>
      <w:r>
        <w:rPr>
          <w:rtl w:val="0"/>
        </w:rPr>
        <w:t>lan platfromlar aras</w:t>
      </w:r>
      <w:r>
        <w:rPr>
          <w:rtl w:val="0"/>
        </w:rPr>
        <w:t>ı</w:t>
      </w:r>
      <w:r>
        <w:rPr>
          <w:rtl w:val="0"/>
        </w:rPr>
        <w:t xml:space="preserve">nda da %51 orana sahip. </w:t>
      </w:r>
    </w:p>
    <w:p>
      <w:pPr>
        <w:pStyle w:val="Body"/>
        <w:jc w:val="both"/>
      </w:pPr>
    </w:p>
    <w:p>
      <w:pPr>
        <w:pStyle w:val="Body"/>
        <w:jc w:val="both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tl w:val="0"/>
        </w:rPr>
        <w:t>Ald</w:t>
      </w:r>
      <w:r>
        <w:rPr>
          <w:rtl w:val="0"/>
        </w:rPr>
        <w:t>ı</w:t>
      </w:r>
      <w:r>
        <w:rPr>
          <w:rtl w:val="0"/>
        </w:rPr>
        <w:t>klar</w:t>
      </w:r>
      <w:r>
        <w:rPr>
          <w:rtl w:val="0"/>
        </w:rPr>
        <w:t xml:space="preserve">ı </w:t>
      </w:r>
      <w:r>
        <w:rPr>
          <w:rtl w:val="0"/>
        </w:rPr>
        <w:t xml:space="preserve">hizmetten memnun olup, memnuniyetlerini </w:t>
      </w:r>
      <w:r>
        <w:rPr>
          <w:rtl w:val="0"/>
        </w:rPr>
        <w:t>ç</w:t>
      </w:r>
      <w:r>
        <w:rPr>
          <w:rtl w:val="0"/>
        </w:rPr>
        <w:t>evreleriyle payla</w:t>
      </w:r>
      <w:r>
        <w:rPr>
          <w:rtl w:val="0"/>
        </w:rPr>
        <w:t>ş</w:t>
      </w:r>
      <w:r>
        <w:rPr>
          <w:rtl w:val="0"/>
        </w:rPr>
        <w:t>an mutlu ve sad</w:t>
      </w:r>
      <w:r>
        <w:rPr>
          <w:rtl w:val="0"/>
        </w:rPr>
        <w:t>ı</w:t>
      </w:r>
      <w:r>
        <w:rPr>
          <w:rtl w:val="0"/>
        </w:rPr>
        <w:t>k m</w:t>
      </w:r>
      <w:r>
        <w:rPr>
          <w:rtl w:val="0"/>
        </w:rPr>
        <w:t>üş</w:t>
      </w:r>
      <w:r>
        <w:rPr>
          <w:rtl w:val="0"/>
        </w:rPr>
        <w:t xml:space="preserve">teri grubuna </w:t>
      </w: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en </w:t>
      </w: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ç</w:t>
      </w: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ok sahip olan markalarda ise Decathlon, Samsung ve Apple Store </w:t>
      </w:r>
      <w:r>
        <w:rPr>
          <w:outline w:val="0"/>
          <w:color w:val="0070c0"/>
          <w:u w:color="0070c0"/>
          <w:rtl w:val="0"/>
          <w:lang w:val="sv-SE"/>
          <w14:textFill>
            <w14:solidFill>
              <w14:srgbClr w14:val="0070C0"/>
            </w14:solidFill>
          </w14:textFill>
        </w:rPr>
        <w:t>ö</w:t>
      </w: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ne </w:t>
      </w: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çı</w:t>
      </w: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k</w:t>
      </w: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yor.</w:t>
      </w:r>
    </w:p>
    <w:p>
      <w:pPr>
        <w:pStyle w:val="Body"/>
        <w:jc w:val="both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jc w:val="center"/>
        <w:rPr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32"/>
          <w:szCs w:val="32"/>
          <w:u w:color="0070c0"/>
          <w:rtl w:val="1"/>
          <w:lang w:val="ar-SA" w:bidi="ar-SA"/>
          <w14:textFill>
            <w14:solidFill>
              <w14:srgbClr w14:val="0070C0"/>
            </w14:solidFill>
          </w14:textFill>
        </w:rPr>
        <w:t>“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2022</w:t>
      </w:r>
      <w:r>
        <w:rPr>
          <w:outline w:val="0"/>
          <w:color w:val="0070c0"/>
          <w:sz w:val="32"/>
          <w:szCs w:val="32"/>
          <w:u w:color="0070c0"/>
          <w:rtl w:val="1"/>
          <w14:textFill>
            <w14:solidFill>
              <w14:srgbClr w14:val="0070C0"/>
            </w14:solidFill>
          </w14:textFill>
        </w:rPr>
        <w:t>’</w:t>
      </w:r>
      <w:r>
        <w:rPr>
          <w:outline w:val="0"/>
          <w:color w:val="0070c0"/>
          <w:sz w:val="32"/>
          <w:szCs w:val="32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de de h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zl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 xml:space="preserve">ı 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teslimat tercih sebebi</w:t>
      </w:r>
    </w:p>
    <w:p>
      <w:pPr>
        <w:pStyle w:val="Body"/>
        <w:jc w:val="both"/>
      </w:pPr>
      <w:r>
        <w:rPr>
          <w:rtl w:val="0"/>
        </w:rPr>
        <w:t>H</w:t>
      </w:r>
      <w:r>
        <w:rPr>
          <w:rtl w:val="0"/>
        </w:rPr>
        <w:t>ı</w:t>
      </w:r>
      <w:r>
        <w:rPr>
          <w:rtl w:val="0"/>
        </w:rPr>
        <w:t>zl</w:t>
      </w:r>
      <w:r>
        <w:rPr>
          <w:rtl w:val="0"/>
        </w:rPr>
        <w:t xml:space="preserve">ı </w:t>
      </w:r>
      <w:r>
        <w:rPr>
          <w:rtl w:val="0"/>
        </w:rPr>
        <w:t>teslimat,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>ş</w:t>
      </w:r>
      <w:r>
        <w:rPr>
          <w:rtl w:val="0"/>
          <w:lang w:val="fr-FR"/>
        </w:rPr>
        <w:t xml:space="preserve">te en </w:t>
      </w:r>
      <w:r>
        <w:rPr>
          <w:rtl w:val="0"/>
        </w:rPr>
        <w:t>ç</w:t>
      </w:r>
      <w:r>
        <w:rPr>
          <w:rtl w:val="0"/>
        </w:rPr>
        <w:t>ok tercih sebebi oluyor.  Online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yapanlar</w:t>
      </w:r>
      <w:r>
        <w:rPr>
          <w:rtl w:val="0"/>
        </w:rPr>
        <w:t>ı</w:t>
      </w:r>
      <w:r>
        <w:rPr>
          <w:rtl w:val="0"/>
        </w:rPr>
        <w:t>n kargo firmas</w:t>
      </w:r>
      <w:r>
        <w:rPr>
          <w:rtl w:val="0"/>
        </w:rPr>
        <w:t xml:space="preserve">ı </w:t>
      </w:r>
      <w:r>
        <w:rPr>
          <w:rtl w:val="0"/>
        </w:rPr>
        <w:t>tercihinde firman</w:t>
      </w:r>
      <w:r>
        <w:rPr>
          <w:rtl w:val="0"/>
        </w:rPr>
        <w:t>ı</w:t>
      </w:r>
      <w:r>
        <w:rPr>
          <w:rtl w:val="0"/>
        </w:rPr>
        <w:t>n daha h</w:t>
      </w:r>
      <w:r>
        <w:rPr>
          <w:rtl w:val="0"/>
        </w:rPr>
        <w:t>ı</w:t>
      </w:r>
      <w:r>
        <w:rPr>
          <w:rtl w:val="0"/>
        </w:rPr>
        <w:t>zl</w:t>
      </w:r>
      <w:r>
        <w:rPr>
          <w:rtl w:val="0"/>
        </w:rPr>
        <w:t xml:space="preserve">ı </w:t>
      </w:r>
      <w:r>
        <w:rPr>
          <w:rtl w:val="0"/>
        </w:rPr>
        <w:t>olmas</w:t>
      </w:r>
      <w:r>
        <w:rPr>
          <w:rtl w:val="0"/>
        </w:rPr>
        <w:t>ı</w:t>
      </w:r>
      <w:r>
        <w:rPr>
          <w:rtl w:val="0"/>
        </w:rPr>
        <w:t>, paketlerin eksiksiz teslim edilmesi ve zaman</w:t>
      </w:r>
      <w:r>
        <w:rPr>
          <w:rtl w:val="0"/>
        </w:rPr>
        <w:t>ı</w:t>
      </w:r>
      <w:r>
        <w:rPr>
          <w:rtl w:val="0"/>
        </w:rPr>
        <w:t>nda teslim edilmesi se</w:t>
      </w:r>
      <w:r>
        <w:rPr>
          <w:rtl w:val="0"/>
        </w:rPr>
        <w:t>ç</w:t>
      </w:r>
      <w:r>
        <w:rPr>
          <w:rtl w:val="0"/>
        </w:rPr>
        <w:t xml:space="preserve">imi etkileyen en </w:t>
      </w:r>
      <w:r>
        <w:rPr>
          <w:rtl w:val="0"/>
          <w:lang w:val="sv-SE"/>
        </w:rPr>
        <w:t>ö</w:t>
      </w:r>
      <w:r>
        <w:rPr>
          <w:rtl w:val="0"/>
        </w:rPr>
        <w:t>nemli fakt</w:t>
      </w:r>
      <w:r>
        <w:rPr>
          <w:rtl w:val="0"/>
          <w:lang w:val="sv-SE"/>
        </w:rPr>
        <w:t>ö</w:t>
      </w:r>
      <w:r>
        <w:rPr>
          <w:rtl w:val="0"/>
        </w:rPr>
        <w:t>rler olarak kar</w:t>
      </w:r>
      <w:r>
        <w:rPr>
          <w:rtl w:val="0"/>
        </w:rPr>
        <w:t>şı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  <w:lang w:val="it-IT"/>
        </w:rPr>
        <w:t xml:space="preserve">za </w:t>
      </w:r>
      <w:r>
        <w:rPr>
          <w:rtl w:val="0"/>
        </w:rPr>
        <w:t>çı</w:t>
      </w:r>
      <w:r>
        <w:rPr>
          <w:rtl w:val="0"/>
        </w:rPr>
        <w:t>k</w:t>
      </w:r>
      <w:r>
        <w:rPr>
          <w:rtl w:val="0"/>
        </w:rPr>
        <w:t>ı</w:t>
      </w:r>
      <w:r>
        <w:rPr>
          <w:rtl w:val="0"/>
        </w:rPr>
        <w:t>yor.</w:t>
      </w:r>
    </w:p>
    <w:p>
      <w:pPr>
        <w:pStyle w:val="Body"/>
        <w:jc w:val="center"/>
        <w:rPr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jc w:val="center"/>
        <w:rPr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32"/>
          <w:szCs w:val="32"/>
          <w:u w:color="0070c0"/>
          <w:rtl w:val="1"/>
          <w:lang w:val="ar-SA" w:bidi="ar-SA"/>
          <w14:textFill>
            <w14:solidFill>
              <w14:srgbClr w14:val="0070C0"/>
            </w14:solidFill>
          </w14:textFill>
        </w:rPr>
        <w:t>“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 xml:space="preserve">Online platformlar 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zerinden al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ış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veri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 xml:space="preserve">ş 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yapanlar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n %28</w:t>
      </w:r>
      <w:r>
        <w:rPr>
          <w:outline w:val="0"/>
          <w:color w:val="0070c0"/>
          <w:sz w:val="32"/>
          <w:szCs w:val="32"/>
          <w:u w:color="0070c0"/>
          <w:rtl w:val="1"/>
          <w14:textFill>
            <w14:solidFill>
              <w14:srgbClr w14:val="0070C0"/>
            </w14:solidFill>
          </w14:textFill>
        </w:rPr>
        <w:t>’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 xml:space="preserve">i sosyal medyada 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r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n tan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t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m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 xml:space="preserve">ı 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 xml:space="preserve">yapan bir influencerdan etkilenip 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r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 xml:space="preserve">ü 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sat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n almaya karar veriyor.</w:t>
      </w:r>
      <w:r>
        <w:rPr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”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 xml:space="preserve">Sosyal medya </w:t>
      </w:r>
      <w:r>
        <w:rPr>
          <w:rtl w:val="0"/>
        </w:rPr>
        <w:t>ü</w:t>
      </w:r>
      <w:r>
        <w:rPr>
          <w:rtl w:val="0"/>
        </w:rPr>
        <w:t>zerinden yap</w:t>
      </w:r>
      <w:r>
        <w:rPr>
          <w:rtl w:val="0"/>
        </w:rPr>
        <w:t>ı</w:t>
      </w:r>
      <w:r>
        <w:rPr>
          <w:rtl w:val="0"/>
        </w:rPr>
        <w:t xml:space="preserve">lan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 tan</w:t>
      </w:r>
      <w:r>
        <w:rPr>
          <w:rtl w:val="0"/>
        </w:rPr>
        <w:t>ı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mlar</w:t>
      </w:r>
      <w:r>
        <w:rPr>
          <w:rtl w:val="0"/>
        </w:rPr>
        <w:t xml:space="preserve">ı </w:t>
      </w:r>
      <w:r>
        <w:rPr>
          <w:rtl w:val="0"/>
        </w:rPr>
        <w:t xml:space="preserve">giderek daha fazla ilgi </w:t>
      </w:r>
      <w:r>
        <w:rPr>
          <w:rtl w:val="0"/>
        </w:rPr>
        <w:t>ç</w:t>
      </w:r>
      <w:r>
        <w:rPr>
          <w:rtl w:val="0"/>
        </w:rPr>
        <w:t xml:space="preserve">ekerken, bu platformlar </w:t>
      </w:r>
      <w:r>
        <w:rPr>
          <w:rtl w:val="0"/>
        </w:rPr>
        <w:t>ü</w:t>
      </w:r>
      <w:r>
        <w:rPr>
          <w:rtl w:val="0"/>
        </w:rPr>
        <w:t>zerinden yap</w:t>
      </w:r>
      <w:r>
        <w:rPr>
          <w:rtl w:val="0"/>
        </w:rPr>
        <w:t>ı</w:t>
      </w:r>
      <w:r>
        <w:rPr>
          <w:rtl w:val="0"/>
        </w:rPr>
        <w:t>lan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>ş</w:t>
      </w:r>
      <w:r>
        <w:rPr>
          <w:rtl w:val="0"/>
        </w:rPr>
        <w:t>ler de artmaya devam ediyor. Ge</w:t>
      </w:r>
      <w:r>
        <w:rPr>
          <w:rtl w:val="0"/>
        </w:rPr>
        <w:t>ç</w:t>
      </w:r>
      <w:r>
        <w:rPr>
          <w:rtl w:val="0"/>
        </w:rPr>
        <w:t>en sene de yap</w:t>
      </w:r>
      <w:r>
        <w:rPr>
          <w:rtl w:val="0"/>
        </w:rPr>
        <w:t>ı</w:t>
      </w:r>
      <w:r>
        <w:rPr>
          <w:rtl w:val="0"/>
        </w:rPr>
        <w:t>lan 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 xml:space="preserve">rmada </w:t>
      </w:r>
      <w:r>
        <w:rPr>
          <w:rtl w:val="0"/>
        </w:rPr>
        <w:t>çı</w:t>
      </w:r>
      <w:r>
        <w:rPr>
          <w:rtl w:val="0"/>
          <w:lang w:val="da-DK"/>
        </w:rPr>
        <w:t xml:space="preserve">kan </w:t>
      </w:r>
      <w:r>
        <w:rPr>
          <w:rtl w:val="1"/>
          <w:lang w:val="ar-SA" w:bidi="ar-SA"/>
        </w:rPr>
        <w:t>“</w:t>
      </w:r>
      <w:r>
        <w:rPr>
          <w:rtl w:val="0"/>
        </w:rPr>
        <w:t xml:space="preserve">sosyal medyada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 tan</w:t>
      </w:r>
      <w:r>
        <w:rPr>
          <w:rtl w:val="0"/>
        </w:rPr>
        <w:t>ı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 xml:space="preserve">ı </w:t>
      </w:r>
      <w:r>
        <w:rPr>
          <w:rtl w:val="0"/>
        </w:rPr>
        <w:t>yapan bir influencerdan etkilenme</w:t>
      </w:r>
      <w:r>
        <w:rPr>
          <w:rtl w:val="0"/>
        </w:rPr>
        <w:t xml:space="preserve">” </w:t>
      </w:r>
      <w:r>
        <w:rPr>
          <w:rtl w:val="0"/>
        </w:rPr>
        <w:t>rapor i</w:t>
      </w:r>
      <w:r>
        <w:rPr>
          <w:rtl w:val="0"/>
        </w:rPr>
        <w:t>ç</w:t>
      </w:r>
      <w:r>
        <w:rPr>
          <w:rtl w:val="0"/>
        </w:rPr>
        <w:t>eri</w:t>
      </w:r>
      <w:r>
        <w:rPr>
          <w:rtl w:val="0"/>
        </w:rPr>
        <w:t>ğ</w:t>
      </w:r>
      <w:r>
        <w:rPr>
          <w:rtl w:val="0"/>
        </w:rPr>
        <w:t>i yerini koruyor. Bu y</w:t>
      </w:r>
      <w:r>
        <w:rPr>
          <w:rtl w:val="0"/>
        </w:rPr>
        <w:t>ı</w:t>
      </w:r>
      <w:r>
        <w:rPr>
          <w:rtl w:val="0"/>
          <w:lang w:val="pt-PT"/>
        </w:rPr>
        <w:t xml:space="preserve">l da en </w:t>
      </w:r>
      <w:r>
        <w:rPr>
          <w:rtl w:val="0"/>
        </w:rPr>
        <w:t>ç</w:t>
      </w:r>
      <w:r>
        <w:rPr>
          <w:rtl w:val="0"/>
        </w:rPr>
        <w:t>ok etkilenen kesim ise yine kad</w:t>
      </w:r>
      <w:r>
        <w:rPr>
          <w:rtl w:val="0"/>
        </w:rPr>
        <w:t>ı</w:t>
      </w:r>
      <w:r>
        <w:rPr>
          <w:rtl w:val="0"/>
        </w:rPr>
        <w:t>nlar.</w:t>
      </w:r>
    </w:p>
    <w:p>
      <w:pPr>
        <w:pStyle w:val="Body"/>
        <w:jc w:val="both"/>
      </w:pPr>
      <w:r>
        <w:rPr>
          <w:rtl w:val="0"/>
        </w:rPr>
        <w:t>Ö</w:t>
      </w:r>
      <w:r>
        <w:rPr>
          <w:rtl w:val="0"/>
        </w:rPr>
        <w:t>zellikle Instagram, TikTok gibi platformlarda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en influencer ileti</w:t>
      </w:r>
      <w:r>
        <w:rPr>
          <w:rtl w:val="0"/>
        </w:rPr>
        <w:t>ş</w:t>
      </w:r>
      <w:r>
        <w:rPr>
          <w:rtl w:val="0"/>
        </w:rPr>
        <w:t>iminin t</w:t>
      </w:r>
      <w:r>
        <w:rPr>
          <w:rtl w:val="0"/>
        </w:rPr>
        <w:t>ü</w:t>
      </w:r>
      <w:r>
        <w:rPr>
          <w:rtl w:val="0"/>
        </w:rPr>
        <w:t>keticileri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>ş</w:t>
      </w:r>
      <w:r>
        <w:rPr>
          <w:rtl w:val="0"/>
        </w:rPr>
        <w:t>e y</w:t>
      </w:r>
      <w:r>
        <w:rPr>
          <w:rtl w:val="0"/>
          <w:lang w:val="sv-SE"/>
        </w:rPr>
        <w:t>ö</w:t>
      </w:r>
      <w:r>
        <w:rPr>
          <w:rtl w:val="0"/>
        </w:rPr>
        <w:t>nlendirmede etkili oldu</w:t>
      </w:r>
      <w:r>
        <w:rPr>
          <w:rtl w:val="0"/>
        </w:rPr>
        <w:t>ğ</w:t>
      </w:r>
      <w:r>
        <w:rPr>
          <w:rtl w:val="0"/>
          <w:lang w:val="fr-FR"/>
        </w:rPr>
        <w:t>u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yor</w:t>
      </w:r>
      <w:r>
        <w:rPr>
          <w:u w:val="single"/>
          <w:rtl w:val="0"/>
        </w:rPr>
        <w:t>. Instagram %92 oranla</w:t>
      </w:r>
      <w:r>
        <w:rPr>
          <w:rtl w:val="0"/>
        </w:rPr>
        <w:t xml:space="preserve"> bu platformlar aras</w:t>
      </w:r>
      <w:r>
        <w:rPr>
          <w:rtl w:val="0"/>
        </w:rPr>
        <w:t>ı</w:t>
      </w:r>
      <w:r>
        <w:rPr>
          <w:rtl w:val="0"/>
        </w:rPr>
        <w:t>nda t</w:t>
      </w:r>
      <w:r>
        <w:rPr>
          <w:rtl w:val="0"/>
        </w:rPr>
        <w:t>ü</w:t>
      </w:r>
      <w:r>
        <w:rPr>
          <w:rtl w:val="0"/>
        </w:rPr>
        <w:t>keticileri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>ş</w:t>
      </w:r>
      <w:r>
        <w:rPr>
          <w:rtl w:val="0"/>
        </w:rPr>
        <w:t>e y</w:t>
      </w:r>
      <w:r>
        <w:rPr>
          <w:rtl w:val="0"/>
          <w:lang w:val="sv-SE"/>
        </w:rPr>
        <w:t>ö</w:t>
      </w:r>
      <w:r>
        <w:rPr>
          <w:rtl w:val="0"/>
        </w:rPr>
        <w:t>nlendirmede en etkili platform olarak kar</w:t>
      </w:r>
      <w:r>
        <w:rPr>
          <w:rtl w:val="0"/>
        </w:rPr>
        <w:t>şı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  <w:lang w:val="it-IT"/>
        </w:rPr>
        <w:t xml:space="preserve">za </w:t>
      </w:r>
      <w:r>
        <w:rPr>
          <w:rtl w:val="0"/>
        </w:rPr>
        <w:t>çı</w:t>
      </w:r>
      <w:r>
        <w:rPr>
          <w:rtl w:val="0"/>
        </w:rPr>
        <w:t>k</w:t>
      </w:r>
      <w:r>
        <w:rPr>
          <w:rtl w:val="0"/>
        </w:rPr>
        <w:t>ı</w:t>
      </w:r>
      <w:r>
        <w:rPr>
          <w:rtl w:val="0"/>
        </w:rPr>
        <w:t xml:space="preserve">yor. </w:t>
      </w:r>
    </w:p>
    <w:p>
      <w:pPr>
        <w:pStyle w:val="Body"/>
        <w:jc w:val="both"/>
      </w:pPr>
      <w:r>
        <w:rPr>
          <w:rtl w:val="0"/>
        </w:rPr>
        <w:t>Sosyal medya mecras</w:t>
      </w:r>
      <w:r>
        <w:rPr>
          <w:rtl w:val="0"/>
        </w:rPr>
        <w:t>ı</w:t>
      </w:r>
      <w:r>
        <w:rPr>
          <w:rtl w:val="0"/>
        </w:rPr>
        <w:t xml:space="preserve">ndan en </w:t>
      </w:r>
      <w:r>
        <w:rPr>
          <w:rtl w:val="0"/>
        </w:rPr>
        <w:t>ç</w:t>
      </w:r>
      <w:r>
        <w:rPr>
          <w:rtl w:val="0"/>
        </w:rPr>
        <w:t>ok yap</w:t>
      </w:r>
      <w:r>
        <w:rPr>
          <w:rtl w:val="0"/>
        </w:rPr>
        <w:t>ı</w:t>
      </w:r>
      <w:r>
        <w:rPr>
          <w:rtl w:val="0"/>
        </w:rPr>
        <w:t>lan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>ş</w:t>
      </w:r>
      <w:r>
        <w:rPr>
          <w:rtl w:val="0"/>
        </w:rPr>
        <w:t>ler kategorilerinde de ilk s</w:t>
      </w:r>
      <w:r>
        <w:rPr>
          <w:rtl w:val="0"/>
        </w:rPr>
        <w:t>ı</w:t>
      </w:r>
      <w:r>
        <w:rPr>
          <w:rtl w:val="0"/>
        </w:rPr>
        <w:t>ray</w:t>
      </w:r>
      <w:r>
        <w:rPr>
          <w:rtl w:val="0"/>
        </w:rPr>
        <w:t xml:space="preserve">ı </w:t>
      </w:r>
      <w:r>
        <w:rPr>
          <w:rtl w:val="0"/>
        </w:rPr>
        <w:t xml:space="preserve">yine </w:t>
      </w:r>
      <w:r>
        <w:rPr>
          <w:b w:val="1"/>
          <w:bCs w:val="1"/>
          <w:rtl w:val="0"/>
        </w:rPr>
        <w:t xml:space="preserve">giyim/aksesuar (%68) </w:t>
      </w:r>
      <w:r>
        <w:rPr>
          <w:rtl w:val="0"/>
          <w:lang w:val="en-US"/>
        </w:rPr>
        <w:t xml:space="preserve">ve </w:t>
      </w:r>
      <w:r>
        <w:rPr>
          <w:b w:val="1"/>
          <w:bCs w:val="1"/>
          <w:rtl w:val="0"/>
        </w:rPr>
        <w:t>kozmetik/ki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isel bak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m (%45)</w:t>
      </w:r>
      <w:r>
        <w:rPr>
          <w:rtl w:val="0"/>
        </w:rPr>
        <w:t xml:space="preserve"> al</w:t>
      </w:r>
      <w:r>
        <w:rPr>
          <w:rtl w:val="0"/>
        </w:rPr>
        <w:t>ı</w:t>
      </w:r>
      <w:r>
        <w:rPr>
          <w:rtl w:val="0"/>
        </w:rPr>
        <w:t>yor.</w:t>
      </w:r>
    </w:p>
    <w:p>
      <w:pPr>
        <w:pStyle w:val="Body"/>
        <w:jc w:val="both"/>
      </w:pP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keticilerin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 xml:space="preserve">k bir </w:t>
      </w:r>
      <w:r>
        <w:rPr>
          <w:rtl w:val="0"/>
        </w:rPr>
        <w:t>ç</w:t>
      </w:r>
      <w:r>
        <w:rPr>
          <w:rtl w:val="0"/>
        </w:rPr>
        <w:t>o</w:t>
      </w:r>
      <w:r>
        <w:rPr>
          <w:rtl w:val="0"/>
        </w:rPr>
        <w:t>ğ</w:t>
      </w:r>
      <w:r>
        <w:rPr>
          <w:rtl w:val="0"/>
        </w:rPr>
        <w:t>unlu</w:t>
      </w:r>
      <w:r>
        <w:rPr>
          <w:rtl w:val="0"/>
        </w:rPr>
        <w:t>ğ</w:t>
      </w:r>
      <w:r>
        <w:rPr>
          <w:rtl w:val="0"/>
        </w:rPr>
        <w:t>u sat</w:t>
      </w:r>
      <w:r>
        <w:rPr>
          <w:rtl w:val="0"/>
        </w:rPr>
        <w:t>ı</w:t>
      </w:r>
      <w:r>
        <w:rPr>
          <w:rtl w:val="0"/>
        </w:rPr>
        <w:t>n alma kararlar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 xml:space="preserve">vermeden </w:t>
      </w:r>
      <w:r>
        <w:rPr>
          <w:rtl w:val="0"/>
          <w:lang w:val="sv-SE"/>
        </w:rPr>
        <w:t>ö</w:t>
      </w:r>
      <w:r>
        <w:rPr>
          <w:rtl w:val="0"/>
        </w:rPr>
        <w:t>nce hem internetten hem de ma</w:t>
      </w:r>
      <w:r>
        <w:rPr>
          <w:rtl w:val="0"/>
        </w:rPr>
        <w:t>ğ</w:t>
      </w:r>
      <w:r>
        <w:rPr>
          <w:rtl w:val="0"/>
        </w:rPr>
        <w:t xml:space="preserve">azadan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 ve fiyat 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  <w:lang w:val="pt-PT"/>
        </w:rPr>
        <w:t>rmas</w:t>
      </w:r>
      <w:r>
        <w:rPr>
          <w:rtl w:val="0"/>
        </w:rPr>
        <w:t xml:space="preserve">ı </w:t>
      </w:r>
      <w:r>
        <w:rPr>
          <w:rtl w:val="0"/>
        </w:rPr>
        <w:t>yap</w:t>
      </w:r>
      <w:r>
        <w:rPr>
          <w:rtl w:val="0"/>
        </w:rPr>
        <w:t>ı</w:t>
      </w:r>
      <w:r>
        <w:rPr>
          <w:rtl w:val="0"/>
        </w:rPr>
        <w:t>yor.  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rmalar g</w:t>
      </w:r>
      <w:r>
        <w:rPr>
          <w:rtl w:val="0"/>
          <w:lang w:val="sv-SE"/>
        </w:rPr>
        <w:t>ö</w:t>
      </w:r>
      <w:r>
        <w:rPr>
          <w:rtl w:val="0"/>
        </w:rPr>
        <w:t>steriyor ki; internetten yap</w:t>
      </w:r>
      <w:r>
        <w:rPr>
          <w:rtl w:val="0"/>
        </w:rPr>
        <w:t>ı</w:t>
      </w:r>
      <w:r>
        <w:rPr>
          <w:rtl w:val="0"/>
        </w:rPr>
        <w:t>lan incelemeler sonucu t</w:t>
      </w:r>
      <w:r>
        <w:rPr>
          <w:rtl w:val="0"/>
        </w:rPr>
        <w:t>ü</w:t>
      </w:r>
      <w:r>
        <w:rPr>
          <w:rtl w:val="0"/>
        </w:rPr>
        <w:t>ketici karar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bu inceleme sonucuna g</w:t>
      </w:r>
      <w:r>
        <w:rPr>
          <w:rtl w:val="0"/>
          <w:lang w:val="sv-SE"/>
        </w:rPr>
        <w:t>ö</w:t>
      </w:r>
      <w:r>
        <w:rPr>
          <w:rtl w:val="0"/>
        </w:rPr>
        <w:t>re veriyor ve bazen hedefledi</w:t>
      </w:r>
      <w:r>
        <w:rPr>
          <w:rtl w:val="0"/>
        </w:rPr>
        <w:t>ğ</w:t>
      </w:r>
      <w:r>
        <w:rPr>
          <w:rtl w:val="0"/>
        </w:rPr>
        <w:t>i marka yerine ba</w:t>
      </w:r>
      <w:r>
        <w:rPr>
          <w:rtl w:val="0"/>
        </w:rPr>
        <w:t>ş</w:t>
      </w:r>
      <w:r>
        <w:rPr>
          <w:rtl w:val="0"/>
        </w:rPr>
        <w:t xml:space="preserve">ka bir marka tercih edebiliyor. </w:t>
      </w:r>
    </w:p>
    <w:p>
      <w:pPr>
        <w:pStyle w:val="Body"/>
        <w:jc w:val="both"/>
      </w:pPr>
      <w:r>
        <w:rPr>
          <w:rtl w:val="0"/>
        </w:rPr>
        <w:t>Kad</w:t>
      </w:r>
      <w:r>
        <w:rPr>
          <w:rtl w:val="0"/>
        </w:rPr>
        <w:t>ı</w:t>
      </w:r>
      <w:r>
        <w:rPr>
          <w:rtl w:val="0"/>
        </w:rPr>
        <w:t>nlar</w:t>
      </w:r>
      <w:r>
        <w:rPr>
          <w:rtl w:val="0"/>
        </w:rPr>
        <w:t>ı</w:t>
      </w:r>
      <w:r>
        <w:rPr>
          <w:rtl w:val="0"/>
        </w:rPr>
        <w:t>n ayda ortalama 11,55 kere giyim konusunda 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rma yaparken, bu say</w:t>
      </w:r>
      <w:r>
        <w:rPr>
          <w:rtl w:val="0"/>
        </w:rPr>
        <w:t xml:space="preserve">ı </w:t>
      </w:r>
      <w:r>
        <w:rPr>
          <w:rtl w:val="0"/>
        </w:rPr>
        <w:t>erkeklerde 8,58</w:t>
      </w:r>
      <w:r>
        <w:rPr>
          <w:rtl w:val="1"/>
        </w:rPr>
        <w:t>’</w:t>
      </w:r>
      <w:r>
        <w:rPr>
          <w:rtl w:val="0"/>
        </w:rPr>
        <w:t>te kal</w:t>
      </w:r>
      <w:r>
        <w:rPr>
          <w:rtl w:val="0"/>
        </w:rPr>
        <w:t>ı</w:t>
      </w:r>
      <w:r>
        <w:rPr>
          <w:rtl w:val="0"/>
        </w:rPr>
        <w:t xml:space="preserve">yor. En </w:t>
      </w:r>
      <w:r>
        <w:rPr>
          <w:rtl w:val="0"/>
        </w:rPr>
        <w:t>ç</w:t>
      </w:r>
      <w:r>
        <w:rPr>
          <w:rtl w:val="0"/>
        </w:rPr>
        <w:t>ok sat</w:t>
      </w:r>
      <w:r>
        <w:rPr>
          <w:rtl w:val="0"/>
        </w:rPr>
        <w:t>ı</w:t>
      </w:r>
      <w:r>
        <w:rPr>
          <w:rtl w:val="0"/>
        </w:rPr>
        <w:t>n al</w:t>
      </w:r>
      <w:r>
        <w:rPr>
          <w:rtl w:val="0"/>
        </w:rPr>
        <w:t>ı</w:t>
      </w:r>
      <w:r>
        <w:rPr>
          <w:rtl w:val="0"/>
        </w:rPr>
        <w:t xml:space="preserve">nan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 grubu ise ayakkab</w:t>
      </w:r>
      <w:r>
        <w:rPr>
          <w:rtl w:val="0"/>
        </w:rPr>
        <w:t>ı çı</w:t>
      </w:r>
      <w:r>
        <w:rPr>
          <w:rtl w:val="0"/>
        </w:rPr>
        <w:t>k</w:t>
      </w:r>
      <w:r>
        <w:rPr>
          <w:rtl w:val="0"/>
        </w:rPr>
        <w:t>ı</w:t>
      </w:r>
      <w:r>
        <w:rPr>
          <w:rtl w:val="0"/>
        </w:rPr>
        <w:t xml:space="preserve">yor. </w:t>
      </w:r>
    </w:p>
    <w:p>
      <w:pPr>
        <w:pStyle w:val="Body"/>
        <w:jc w:val="both"/>
      </w:pP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m bu s</w:t>
      </w:r>
      <w:r>
        <w:rPr>
          <w:rtl w:val="0"/>
        </w:rPr>
        <w:t>ü</w:t>
      </w:r>
      <w:r>
        <w:rPr>
          <w:rtl w:val="0"/>
        </w:rPr>
        <w:t>recin sonunda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 xml:space="preserve">k bir </w:t>
      </w:r>
      <w:r>
        <w:rPr>
          <w:rtl w:val="0"/>
        </w:rPr>
        <w:t>ç</w:t>
      </w:r>
      <w:r>
        <w:rPr>
          <w:rtl w:val="0"/>
        </w:rPr>
        <w:t>o</w:t>
      </w:r>
      <w:r>
        <w:rPr>
          <w:rtl w:val="0"/>
        </w:rPr>
        <w:t>ğ</w:t>
      </w:r>
      <w:r>
        <w:rPr>
          <w:rtl w:val="0"/>
        </w:rPr>
        <w:t>unlukla online platformda tamamlan</w:t>
      </w:r>
      <w:r>
        <w:rPr>
          <w:rtl w:val="0"/>
        </w:rPr>
        <w:t>ı</w:t>
      </w:r>
      <w:r>
        <w:rPr>
          <w:rtl w:val="0"/>
        </w:rPr>
        <w:t>yor. Bunun en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k nedeni olarak e-ticaret platformlar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sa</w:t>
      </w:r>
      <w:r>
        <w:rPr>
          <w:rtl w:val="0"/>
        </w:rPr>
        <w:t>ğ</w:t>
      </w:r>
      <w:r>
        <w:rPr>
          <w:rtl w:val="0"/>
        </w:rPr>
        <w:t>lad</w:t>
      </w:r>
      <w:r>
        <w:rPr>
          <w:rtl w:val="0"/>
        </w:rPr>
        <w:t>ığı ö</w:t>
      </w:r>
      <w:r>
        <w:rPr>
          <w:rtl w:val="0"/>
        </w:rPr>
        <w:t>zel indirimler ve avantajlar oldu</w:t>
      </w:r>
      <w:r>
        <w:rPr>
          <w:rtl w:val="0"/>
        </w:rPr>
        <w:t>ğ</w:t>
      </w:r>
      <w:r>
        <w:rPr>
          <w:rtl w:val="0"/>
          <w:lang w:val="fr-FR"/>
        </w:rPr>
        <w:t>u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 xml:space="preserve">yor. </w:t>
      </w:r>
    </w:p>
    <w:p>
      <w:pPr>
        <w:pStyle w:val="Body"/>
        <w:jc w:val="both"/>
        <w:rPr>
          <w:b w:val="1"/>
          <w:bCs w:val="1"/>
        </w:rPr>
      </w:pP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G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da ve temizlik 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nlerinin yer ald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ığı 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h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zl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ı 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ketim kategorisinde ise at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ış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rmal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klar, temizlik 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nleri ve ki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ş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isel bak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m 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nleri en 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ç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ok sat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 al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nan 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nlerin ba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şı</w:t>
      </w:r>
      <w:r>
        <w:rPr>
          <w:rFonts w:ascii="DINPro-Bold" w:cs="DINPro-Bold" w:hAnsi="DINPro-Bold" w:eastAsia="DINPro-Bold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nda geliyor.</w:t>
      </w: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tl w:val="0"/>
        </w:rPr>
        <w:t>Ö</w:t>
      </w:r>
      <w:r>
        <w:rPr>
          <w:rtl w:val="0"/>
        </w:rPr>
        <w:t>zellikle son 12 ayda g</w:t>
      </w:r>
      <w:r>
        <w:rPr>
          <w:rtl w:val="0"/>
        </w:rPr>
        <w:t>ı</w:t>
      </w:r>
      <w:r>
        <w:rPr>
          <w:rtl w:val="0"/>
          <w:lang w:val="it-IT"/>
        </w:rPr>
        <w:t xml:space="preserve">da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nlerinde neredeyse 2 kat</w:t>
      </w:r>
      <w:r>
        <w:rPr>
          <w:rtl w:val="0"/>
        </w:rPr>
        <w:t>ı</w:t>
      </w:r>
      <w:r>
        <w:rPr>
          <w:rtl w:val="0"/>
        </w:rPr>
        <w:t xml:space="preserve">na </w:t>
      </w:r>
      <w:r>
        <w:rPr>
          <w:rtl w:val="0"/>
        </w:rPr>
        <w:t>çı</w:t>
      </w:r>
      <w:r>
        <w:rPr>
          <w:rtl w:val="0"/>
        </w:rPr>
        <w:t>kan oranlardaki art</w:t>
      </w:r>
      <w:r>
        <w:rPr>
          <w:rtl w:val="0"/>
        </w:rPr>
        <w:t xml:space="preserve">ış </w:t>
      </w:r>
      <w:r>
        <w:rPr>
          <w:rtl w:val="0"/>
        </w:rPr>
        <w:t>olduk</w:t>
      </w:r>
      <w:r>
        <w:rPr>
          <w:rtl w:val="0"/>
        </w:rPr>
        <w:t>ç</w:t>
      </w:r>
      <w:r>
        <w:rPr>
          <w:rtl w:val="0"/>
        </w:rPr>
        <w:t xml:space="preserve">a dikkat </w:t>
      </w:r>
      <w:r>
        <w:rPr>
          <w:rtl w:val="0"/>
        </w:rPr>
        <w:t>ç</w:t>
      </w:r>
      <w:r>
        <w:rPr>
          <w:rtl w:val="0"/>
        </w:rPr>
        <w:t>ekerken, sat</w:t>
      </w:r>
      <w:r>
        <w:rPr>
          <w:rtl w:val="0"/>
        </w:rPr>
        <w:t>ı</w:t>
      </w:r>
      <w:r>
        <w:rPr>
          <w:rtl w:val="0"/>
        </w:rPr>
        <w:t>n alma s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ığı </w:t>
      </w:r>
      <w:r>
        <w:rPr>
          <w:rtl w:val="0"/>
        </w:rPr>
        <w:t>bak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 xml:space="preserve">ndan en </w:t>
      </w:r>
      <w:r>
        <w:rPr>
          <w:rtl w:val="0"/>
        </w:rPr>
        <w:t>ç</w:t>
      </w:r>
      <w:r>
        <w:rPr>
          <w:rtl w:val="0"/>
        </w:rPr>
        <w:t>ok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yap</w:t>
      </w:r>
      <w:r>
        <w:rPr>
          <w:rtl w:val="0"/>
        </w:rPr>
        <w:t>ı</w:t>
      </w:r>
      <w:r>
        <w:rPr>
          <w:rtl w:val="0"/>
        </w:rPr>
        <w:t>lan giyim kategorisini geride b</w:t>
      </w:r>
      <w:r>
        <w:rPr>
          <w:rtl w:val="0"/>
        </w:rPr>
        <w:t>ı</w:t>
      </w:r>
      <w:r>
        <w:rPr>
          <w:rtl w:val="0"/>
        </w:rPr>
        <w:t>rak</w:t>
      </w:r>
      <w:r>
        <w:rPr>
          <w:rtl w:val="0"/>
        </w:rPr>
        <w:t>ı</w:t>
      </w:r>
      <w:r>
        <w:rPr>
          <w:rtl w:val="0"/>
        </w:rPr>
        <w:t xml:space="preserve">yor. </w:t>
      </w:r>
      <w:r>
        <w:rPr>
          <w:rFonts w:ascii="DINPro-Bold" w:cs="DINPro-Bold" w:hAnsi="DINPro-Bold" w:eastAsia="DINPro-Bold"/>
          <w:b w:val="1"/>
          <w:bCs w:val="1"/>
          <w:rtl w:val="0"/>
        </w:rPr>
        <w:t>Bu alanda da online al</w:t>
      </w:r>
      <w:r>
        <w:rPr>
          <w:rFonts w:ascii="DINPro-Bold" w:cs="DINPro-Bold" w:hAnsi="DINPro-Bold" w:eastAsia="DINPro-Bold"/>
          <w:b w:val="1"/>
          <w:bCs w:val="1"/>
          <w:rtl w:val="0"/>
        </w:rPr>
        <w:t>ış</w:t>
      </w:r>
      <w:r>
        <w:rPr>
          <w:rFonts w:ascii="DINPro-Bold" w:cs="DINPro-Bold" w:hAnsi="DINPro-Bold" w:eastAsia="DINPro-Bold"/>
          <w:b w:val="1"/>
          <w:bCs w:val="1"/>
          <w:rtl w:val="0"/>
        </w:rPr>
        <w:t>veri</w:t>
      </w:r>
      <w:r>
        <w:rPr>
          <w:rFonts w:ascii="DINPro-Bold" w:cs="DINPro-Bold" w:hAnsi="DINPro-Bold" w:eastAsia="DINPro-Bold"/>
          <w:b w:val="1"/>
          <w:bCs w:val="1"/>
          <w:rtl w:val="0"/>
        </w:rPr>
        <w:t>ş</w:t>
      </w:r>
      <w:r>
        <w:rPr>
          <w:rFonts w:ascii="DINPro-Bold" w:cs="DINPro-Bold" w:hAnsi="DINPro-Bold" w:eastAsia="DINPro-Bold"/>
          <w:b w:val="1"/>
          <w:bCs w:val="1"/>
          <w:rtl w:val="0"/>
          <w:lang w:val="fr-FR"/>
        </w:rPr>
        <w:t xml:space="preserve">te en </w:t>
      </w:r>
      <w:r>
        <w:rPr>
          <w:rFonts w:ascii="DINPro-Bold" w:cs="DINPro-Bold" w:hAnsi="DINPro-Bold" w:eastAsia="DINPro-Bold"/>
          <w:b w:val="1"/>
          <w:bCs w:val="1"/>
          <w:rtl w:val="0"/>
        </w:rPr>
        <w:t>ç</w:t>
      </w:r>
      <w:r>
        <w:rPr>
          <w:rFonts w:ascii="DINPro-Bold" w:cs="DINPro-Bold" w:hAnsi="DINPro-Bold" w:eastAsia="DINPro-Bold"/>
          <w:b w:val="1"/>
          <w:bCs w:val="1"/>
          <w:rtl w:val="0"/>
        </w:rPr>
        <w:t>ok tercih edilen platformun %23 l</w:t>
      </w:r>
      <w:r>
        <w:rPr>
          <w:rFonts w:ascii="DINPro-Bold" w:cs="DINPro-Bold" w:hAnsi="DINPro-Bold" w:eastAsia="DINPro-Bold"/>
          <w:b w:val="1"/>
          <w:bCs w:val="1"/>
          <w:rtl w:val="0"/>
        </w:rPr>
        <w:t>ü</w:t>
      </w:r>
      <w:r>
        <w:rPr>
          <w:rFonts w:ascii="DINPro-Bold" w:cs="DINPro-Bold" w:hAnsi="DINPro-Bold" w:eastAsia="DINPro-Bold"/>
          <w:b w:val="1"/>
          <w:bCs w:val="1"/>
          <w:rtl w:val="0"/>
        </w:rPr>
        <w:t>k oranla Getir oldu</w:t>
      </w:r>
      <w:r>
        <w:rPr>
          <w:rFonts w:ascii="DINPro-Bold" w:cs="DINPro-Bold" w:hAnsi="DINPro-Bold" w:eastAsia="DINPro-Bold"/>
          <w:b w:val="1"/>
          <w:bCs w:val="1"/>
          <w:rtl w:val="0"/>
        </w:rPr>
        <w:t>ğ</w:t>
      </w:r>
      <w:r>
        <w:rPr>
          <w:rFonts w:ascii="DINPro-Bold" w:cs="DINPro-Bold" w:hAnsi="DINPro-Bold" w:eastAsia="DINPro-Bold"/>
          <w:b w:val="1"/>
          <w:bCs w:val="1"/>
          <w:rtl w:val="0"/>
        </w:rPr>
        <w:t xml:space="preserve">u dikkat </w:t>
      </w:r>
      <w:r>
        <w:rPr>
          <w:rFonts w:ascii="DINPro-Bold" w:cs="DINPro-Bold" w:hAnsi="DINPro-Bold" w:eastAsia="DINPro-Bold"/>
          <w:b w:val="1"/>
          <w:bCs w:val="1"/>
          <w:rtl w:val="0"/>
        </w:rPr>
        <w:t>ç</w:t>
      </w:r>
      <w:r>
        <w:rPr>
          <w:rFonts w:ascii="DINPro-Bold" w:cs="DINPro-Bold" w:hAnsi="DINPro-Bold" w:eastAsia="DINPro-Bold"/>
          <w:b w:val="1"/>
          <w:bCs w:val="1"/>
          <w:rtl w:val="0"/>
        </w:rPr>
        <w:t>ekiyor.</w:t>
      </w:r>
      <w:r>
        <w:rPr>
          <w:b w:val="1"/>
          <w:bCs w:val="1"/>
          <w:rtl w:val="0"/>
        </w:rPr>
        <w:t xml:space="preserve">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line="360" w:lineRule="auto"/>
        <w:jc w:val="both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Bilgi </w:t>
      </w:r>
      <w:r>
        <w:rPr>
          <w:b w:val="1"/>
          <w:bCs w:val="1"/>
          <w:sz w:val="18"/>
          <w:szCs w:val="18"/>
          <w:rtl w:val="0"/>
        </w:rPr>
        <w:t>İç</w:t>
      </w:r>
      <w:r>
        <w:rPr>
          <w:b w:val="1"/>
          <w:bCs w:val="1"/>
          <w:sz w:val="18"/>
          <w:szCs w:val="18"/>
          <w:rtl w:val="0"/>
          <w:lang w:val="de-DE"/>
        </w:rPr>
        <w:t>in:</w:t>
      </w:r>
    </w:p>
    <w:p>
      <w:pPr>
        <w:pStyle w:val="Body"/>
        <w:rPr>
          <w:sz w:val="18"/>
          <w:szCs w:val="18"/>
        </w:rPr>
      </w:pP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Tu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>ğç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e Oral / M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>üş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teri Grup Direkt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r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>ü –</w:t>
      </w:r>
      <w:r>
        <w:rPr>
          <w:rFonts w:cs="Arial Unicode MS" w:eastAsia="Arial Unicode MS"/>
          <w:sz w:val="18"/>
          <w:szCs w:val="18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"mailto:tugce.oral@goodworks.com.tr"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tugce.oral@goodworks.com.tr</w:t>
      </w:r>
      <w:r>
        <w:rPr/>
        <w:fldChar w:fldCharType="end" w:fldLock="0"/>
      </w:r>
      <w:r>
        <w:rPr>
          <w:rFonts w:cs="Arial Unicode MS" w:eastAsia="Arial Unicode MS" w:hint="default"/>
          <w:sz w:val="18"/>
          <w:szCs w:val="18"/>
          <w:rtl w:val="0"/>
        </w:rPr>
        <w:t xml:space="preserve"> – </w:t>
      </w:r>
      <w:r>
        <w:rPr>
          <w:rFonts w:cs="Arial Unicode MS" w:eastAsia="Arial Unicode MS"/>
          <w:sz w:val="18"/>
          <w:szCs w:val="18"/>
          <w:rtl w:val="0"/>
        </w:rPr>
        <w:t>0532 413 12 24</w:t>
      </w:r>
    </w:p>
    <w:p>
      <w:pPr>
        <w:pStyle w:val="Body"/>
        <w:rPr>
          <w:sz w:val="18"/>
          <w:szCs w:val="18"/>
        </w:rPr>
      </w:pP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Nilay Aydo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>ğ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an / M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>üş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teri Direkt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r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 xml:space="preserve">ü </w:t>
      </w:r>
      <w:r>
        <w:rPr>
          <w:rFonts w:cs="Arial Unicode MS" w:eastAsia="Arial Unicode MS" w:hint="default"/>
          <w:sz w:val="18"/>
          <w:szCs w:val="18"/>
          <w:rtl w:val="0"/>
        </w:rPr>
        <w:t>–</w:t>
      </w:r>
      <w:r>
        <w:rPr>
          <w:rFonts w:cs="Arial Unicode MS" w:eastAsia="Arial Unicode MS"/>
          <w:sz w:val="18"/>
          <w:szCs w:val="18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"mailto:nilay.aydogan@goodworks.com.tr"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nilay.aydogan@goodworks.com.tr</w:t>
      </w:r>
      <w:r>
        <w:rPr/>
        <w:fldChar w:fldCharType="end" w:fldLock="0"/>
      </w:r>
      <w:r>
        <w:rPr>
          <w:rFonts w:cs="Arial Unicode MS" w:eastAsia="Arial Unicode MS"/>
          <w:sz w:val="18"/>
          <w:szCs w:val="18"/>
          <w:rtl w:val="0"/>
          <w:lang w:val="ru-RU"/>
        </w:rPr>
        <w:t xml:space="preserve"> - </w:t>
      </w:r>
      <w:r>
        <w:rPr>
          <w:rFonts w:cs="Arial Unicode MS" w:eastAsia="Arial Unicode MS"/>
          <w:sz w:val="18"/>
          <w:szCs w:val="18"/>
          <w:rtl w:val="0"/>
        </w:rPr>
        <w:t>0536 229 16 08</w:t>
      </w:r>
    </w:p>
    <w:p>
      <w:pPr>
        <w:pStyle w:val="Body"/>
        <w:spacing w:before="100" w:after="100"/>
        <w:jc w:val="both"/>
        <w:rPr>
          <w:b w:val="1"/>
          <w:bCs w:val="1"/>
          <w:sz w:val="18"/>
          <w:szCs w:val="18"/>
          <w:u w:val="single"/>
        </w:rPr>
      </w:pPr>
    </w:p>
    <w:p>
      <w:pPr>
        <w:pStyle w:val="Body"/>
        <w:spacing w:before="100" w:after="100"/>
        <w:jc w:val="both"/>
        <w:rPr>
          <w:b w:val="1"/>
          <w:bCs w:val="1"/>
          <w:sz w:val="18"/>
          <w:szCs w:val="18"/>
          <w:u w:val="single"/>
        </w:rPr>
      </w:pPr>
      <w:r>
        <w:rPr>
          <w:b w:val="1"/>
          <w:bCs w:val="1"/>
          <w:sz w:val="18"/>
          <w:szCs w:val="18"/>
          <w:u w:val="single"/>
          <w:rtl w:val="0"/>
          <w:lang w:val="en-US"/>
        </w:rPr>
        <w:t>Twentify Hakk</w:t>
      </w:r>
      <w:r>
        <w:rPr>
          <w:b w:val="1"/>
          <w:bCs w:val="1"/>
          <w:sz w:val="18"/>
          <w:szCs w:val="18"/>
          <w:u w:val="single"/>
          <w:rtl w:val="0"/>
        </w:rPr>
        <w:t>ı</w:t>
      </w:r>
      <w:r>
        <w:rPr>
          <w:b w:val="1"/>
          <w:bCs w:val="1"/>
          <w:sz w:val="18"/>
          <w:szCs w:val="18"/>
          <w:u w:val="single"/>
          <w:rtl w:val="0"/>
        </w:rPr>
        <w:t>nda</w:t>
      </w:r>
    </w:p>
    <w:p>
      <w:pPr>
        <w:pStyle w:val="Body"/>
      </w:pP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2014 y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l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nda kurulan Twentify, geli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tirdi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i teknolojilerle t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keticilere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 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kendi ortamlar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nda ula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arak, markalarla olan etkile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im anlar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n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 çö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z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mleyen ve markalara i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ç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g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:lang w:val="sv-SE"/>
          <w14:textFill>
            <w14:solidFill>
              <w14:srgbClr w14:val="72808E"/>
            </w14:solidFill>
          </w14:textFill>
        </w:rPr>
        <w:t>ö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r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 xml:space="preserve">ü 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temelli b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y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:lang w:val="en-US"/>
          <w14:textFill>
            <w14:solidFill>
              <w14:srgbClr w14:val="72808E"/>
            </w14:solidFill>
          </w14:textFill>
        </w:rPr>
        <w:t>me f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rsatlar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 xml:space="preserve">ı 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yaratan bir t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ketici ara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t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:lang w:val="it-IT"/>
          <w14:textFill>
            <w14:solidFill>
              <w14:srgbClr w14:val="72808E"/>
            </w14:solidFill>
          </w14:textFill>
        </w:rPr>
        <w:t xml:space="preserve">rma 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irketidir. Kitle kaynakl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 xml:space="preserve">ı 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mobil ara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t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rma paneli Bounty ile d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 xml:space="preserve">nya 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ç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ap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nda 1,5 milyondan fazla t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keticiye saatler i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ç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erisinde eri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ebilmektedir.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DINPro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outline w:val="0"/>
        <w:color w:val="0070c0"/>
        <w:u w:color="0070c0"/>
        <w:rtl w:val="0"/>
        <w14:textFill>
          <w14:solidFill>
            <w14:srgbClr w14:val="0070C0"/>
          </w14:solidFill>
        </w14:textFill>
      </w:rPr>
      <w:t>www.twentify.com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487679</wp:posOffset>
          </wp:positionH>
          <wp:positionV relativeFrom="page">
            <wp:posOffset>312420</wp:posOffset>
          </wp:positionV>
          <wp:extent cx="2689225" cy="716281"/>
          <wp:effectExtent l="0" t="0" r="0" b="0"/>
          <wp:wrapNone/>
          <wp:docPr id="1073741825" name="officeArt object" descr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esim 1" descr="Resim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162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</w:rPr>
      <w:t xml:space="preserve">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